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923D5" w14:textId="2A618B86" w:rsidR="00CA5398" w:rsidRPr="001B3B34" w:rsidRDefault="001B3B34" w:rsidP="001B3B34">
      <w:pPr>
        <w:jc w:val="center"/>
        <w:rPr>
          <w:b/>
          <w:sz w:val="32"/>
          <w:szCs w:val="32"/>
          <w:u w:val="single"/>
        </w:rPr>
      </w:pPr>
      <w:bookmarkStart w:id="0" w:name="_GoBack"/>
      <w:bookmarkEnd w:id="0"/>
      <w:r>
        <w:rPr>
          <w:b/>
          <w:bCs/>
          <w:sz w:val="32"/>
          <w:szCs w:val="32"/>
          <w:u w:val="single"/>
          <w:lang w:val="en-GB"/>
        </w:rPr>
        <w:t>DECLARATIONS</w:t>
      </w:r>
    </w:p>
    <w:p w14:paraId="4C3F0CD2" w14:textId="77777777" w:rsidR="001B3B34" w:rsidRDefault="001B3B34" w:rsidP="00CA5398"/>
    <w:p w14:paraId="21D83E76" w14:textId="40B572AC" w:rsidR="00BC5A53" w:rsidRPr="009F7BFA" w:rsidRDefault="000A67AB" w:rsidP="009F7BFA">
      <w:r w:rsidRPr="009F7BFA">
        <w:t>I/we, the undersigned, ____________________, as the legal representative(s) (person(s) authorised to sign on behalf of _____________________________) declare that: the goods arriving from ___________________ under tracking number ______________:</w:t>
      </w:r>
    </w:p>
    <w:p w14:paraId="754217C1" w14:textId="77777777" w:rsidR="00CB5C8E" w:rsidRDefault="00CB5C8E" w:rsidP="00CA5398">
      <w:pPr>
        <w:rPr>
          <w:b/>
        </w:rPr>
      </w:pPr>
    </w:p>
    <w:p w14:paraId="6DE51D6A" w14:textId="03207F3F" w:rsidR="000B1642" w:rsidRPr="005B33F9" w:rsidRDefault="000B1642" w:rsidP="000B1642">
      <w:pPr>
        <w:ind w:left="851" w:hanging="425"/>
      </w:pPr>
      <w:r>
        <w:rPr>
          <w:b/>
          <w:bCs/>
          <w:lang w:val="en-GB"/>
        </w:rPr>
        <w:t>1.</w:t>
      </w:r>
      <w:r>
        <w:rPr>
          <w:lang w:val="en-GB"/>
        </w:rPr>
        <w:tab/>
        <w:t xml:space="preserve">are not subject to </w:t>
      </w:r>
      <w:r>
        <w:rPr>
          <w:b/>
          <w:bCs/>
          <w:lang w:val="en-GB"/>
        </w:rPr>
        <w:t>Government Decree 13/2011 (22 February) on the Authorisation of the Foreign Trade of Dual-Use Items,</w:t>
      </w:r>
    </w:p>
    <w:p w14:paraId="09A66B30" w14:textId="77777777" w:rsidR="000B1642" w:rsidRPr="005B33F9" w:rsidRDefault="000B1642" w:rsidP="000B1642"/>
    <w:p w14:paraId="2DE1978A" w14:textId="1D851718" w:rsidR="000B1642" w:rsidRPr="005B33F9" w:rsidRDefault="000B1642" w:rsidP="000B1642">
      <w:pPr>
        <w:ind w:left="851" w:hanging="425"/>
      </w:pPr>
      <w:r>
        <w:rPr>
          <w:b/>
          <w:bCs/>
          <w:lang w:val="en-GB"/>
        </w:rPr>
        <w:t>2.</w:t>
      </w:r>
      <w:r>
        <w:rPr>
          <w:lang w:val="en-GB"/>
        </w:rPr>
        <w:tab/>
        <w:t xml:space="preserve">do not contain substances defined in </w:t>
      </w:r>
      <w:r>
        <w:rPr>
          <w:b/>
          <w:bCs/>
          <w:lang w:val="en-GB"/>
        </w:rPr>
        <w:t>Regulation (EC) No 842/2006 of the European Parliament and of the Council on Certain Fluorinated Greenhouse Gases</w:t>
      </w:r>
      <w:r>
        <w:rPr>
          <w:lang w:val="en-GB"/>
        </w:rPr>
        <w:t>,</w:t>
      </w:r>
    </w:p>
    <w:p w14:paraId="427F54BC" w14:textId="77777777" w:rsidR="000B1642" w:rsidRPr="005B33F9" w:rsidRDefault="000B1642" w:rsidP="000B1642"/>
    <w:p w14:paraId="29E294B4" w14:textId="53DCD4F9" w:rsidR="000B1642" w:rsidRPr="005B33F9" w:rsidRDefault="000B1642" w:rsidP="000B1642">
      <w:pPr>
        <w:ind w:left="851" w:hanging="425"/>
      </w:pPr>
      <w:r>
        <w:rPr>
          <w:b/>
          <w:bCs/>
          <w:lang w:val="en-GB"/>
        </w:rPr>
        <w:t xml:space="preserve">3. </w:t>
      </w:r>
      <w:r>
        <w:rPr>
          <w:lang w:val="en-GB"/>
        </w:rPr>
        <w:tab/>
        <w:t xml:space="preserve">under import invoice number(s) </w:t>
      </w:r>
      <w:r>
        <w:rPr>
          <w:b/>
          <w:bCs/>
          <w:lang w:val="en-GB"/>
        </w:rPr>
        <w:t>__________________</w:t>
      </w:r>
      <w:r>
        <w:rPr>
          <w:lang w:val="en-GB"/>
        </w:rPr>
        <w:t xml:space="preserve"> are not suitable for the repression, torture or degrading treatment of people. (Council Regulation (EC) No 1236/2005),</w:t>
      </w:r>
    </w:p>
    <w:p w14:paraId="746F8026" w14:textId="77777777" w:rsidR="000B1642" w:rsidRPr="005B33F9" w:rsidRDefault="000B1642" w:rsidP="000B1642"/>
    <w:p w14:paraId="73667305" w14:textId="7DC90BDB" w:rsidR="000B1642" w:rsidRPr="005B33F9" w:rsidRDefault="000B1642" w:rsidP="000B1642">
      <w:pPr>
        <w:ind w:left="851" w:hanging="425"/>
      </w:pPr>
      <w:r>
        <w:rPr>
          <w:b/>
          <w:bCs/>
          <w:lang w:val="en-GB"/>
        </w:rPr>
        <w:t xml:space="preserve">4. </w:t>
      </w:r>
      <w:r>
        <w:rPr>
          <w:lang w:val="en-GB"/>
        </w:rPr>
        <w:tab/>
        <w:t xml:space="preserve">do not contain substances defined in </w:t>
      </w:r>
      <w:r>
        <w:rPr>
          <w:b/>
          <w:bCs/>
          <w:lang w:val="en-GB"/>
        </w:rPr>
        <w:t>Regulation (EC) No 1005/2009 of the European Parliament and of the Council on Substances that Deplete the Ozone Layer</w:t>
      </w:r>
      <w:r>
        <w:rPr>
          <w:lang w:val="en-GB"/>
        </w:rPr>
        <w:t>,</w:t>
      </w:r>
    </w:p>
    <w:p w14:paraId="3C57891E" w14:textId="77777777" w:rsidR="000B1642" w:rsidRPr="005B33F9" w:rsidRDefault="000B1642" w:rsidP="000B1642"/>
    <w:p w14:paraId="053418F2" w14:textId="24D8C0BA" w:rsidR="000B1642" w:rsidRPr="005B33F9" w:rsidRDefault="000B1642" w:rsidP="000B1642">
      <w:pPr>
        <w:ind w:left="851" w:hanging="425"/>
      </w:pPr>
      <w:r>
        <w:rPr>
          <w:b/>
          <w:bCs/>
          <w:lang w:val="en-GB"/>
        </w:rPr>
        <w:t xml:space="preserve">5. </w:t>
      </w:r>
      <w:r>
        <w:rPr>
          <w:lang w:val="en-GB"/>
        </w:rPr>
        <w:tab/>
        <w:t xml:space="preserve">do not contain substances defined in </w:t>
      </w:r>
      <w:r>
        <w:rPr>
          <w:b/>
          <w:bCs/>
          <w:lang w:val="en-GB"/>
        </w:rPr>
        <w:t>Regulation (EC) No 1523/2007 of the European Parliament and of the Council Banning the Placing on the Market and the Import to, or the Export From, the Community of Dog and Cat Fur, and Products Containing Such Fur,</w:t>
      </w:r>
    </w:p>
    <w:p w14:paraId="3AADB59C" w14:textId="77777777" w:rsidR="000B1642" w:rsidRPr="005B33F9" w:rsidRDefault="000B1642" w:rsidP="000B1642"/>
    <w:p w14:paraId="351CF644" w14:textId="2A667644" w:rsidR="000B1642" w:rsidRPr="005B33F9" w:rsidRDefault="000B1642" w:rsidP="000B1642">
      <w:pPr>
        <w:ind w:left="851" w:hanging="425"/>
      </w:pPr>
      <w:r>
        <w:rPr>
          <w:b/>
          <w:bCs/>
          <w:lang w:val="en-GB"/>
        </w:rPr>
        <w:t xml:space="preserve">6. </w:t>
      </w:r>
      <w:r>
        <w:rPr>
          <w:lang w:val="en-GB"/>
        </w:rPr>
        <w:tab/>
        <w:t>are not covered by the Washington Cites Convention, are not derived from parts of protected animals or plants. (Council Regulation (EC) No 338/97 and Government Decree 292/2008 (10 December),</w:t>
      </w:r>
    </w:p>
    <w:p w14:paraId="33206B51" w14:textId="77777777" w:rsidR="000B1642" w:rsidRPr="005B33F9" w:rsidRDefault="000B1642" w:rsidP="000B1642"/>
    <w:p w14:paraId="7DC1C961" w14:textId="37D3C840" w:rsidR="000B1642" w:rsidRPr="005B33F9" w:rsidRDefault="000B1642" w:rsidP="000B1642">
      <w:pPr>
        <w:ind w:left="851" w:hanging="425"/>
      </w:pPr>
      <w:r>
        <w:rPr>
          <w:b/>
          <w:bCs/>
          <w:lang w:val="en-GB"/>
        </w:rPr>
        <w:t>7.</w:t>
      </w:r>
      <w:r>
        <w:rPr>
          <w:lang w:val="en-GB"/>
        </w:rPr>
        <w:t xml:space="preserve"> </w:t>
      </w:r>
      <w:r>
        <w:rPr>
          <w:lang w:val="en-GB"/>
        </w:rPr>
        <w:tab/>
        <w:t xml:space="preserve">are not subject </w:t>
      </w:r>
      <w:r>
        <w:rPr>
          <w:b/>
          <w:bCs/>
          <w:lang w:val="en-GB"/>
        </w:rPr>
        <w:t>to Commission Regulation (EU) No 2015/1850 of 16 October 2015 Laying Down Detailed Rules for the Implementation of Regulation (EC) No 1007/2009 of the European Parliament and of the Council on Trade in Seal Products,</w:t>
      </w:r>
    </w:p>
    <w:p w14:paraId="0E578EF8" w14:textId="77777777" w:rsidR="000B1642" w:rsidRPr="005B33F9" w:rsidRDefault="000B1642" w:rsidP="000B1642"/>
    <w:p w14:paraId="3BFE7593" w14:textId="1C1356ED" w:rsidR="000B1642" w:rsidRPr="005B33F9" w:rsidRDefault="000B1642" w:rsidP="000B1642">
      <w:pPr>
        <w:ind w:left="851" w:hanging="425"/>
      </w:pPr>
      <w:r>
        <w:rPr>
          <w:b/>
          <w:bCs/>
          <w:lang w:val="en-GB"/>
        </w:rPr>
        <w:t>8.</w:t>
      </w:r>
      <w:r>
        <w:rPr>
          <w:lang w:val="en-GB"/>
        </w:rPr>
        <w:t xml:space="preserve"> </w:t>
      </w:r>
      <w:r>
        <w:rPr>
          <w:lang w:val="en-GB"/>
        </w:rPr>
        <w:tab/>
      </w:r>
      <w:r>
        <w:rPr>
          <w:b/>
          <w:bCs/>
          <w:lang w:val="en-GB"/>
        </w:rPr>
        <w:t>are not subject to</w:t>
      </w:r>
      <w:r>
        <w:rPr>
          <w:lang w:val="en-GB"/>
        </w:rPr>
        <w:t xml:space="preserve"> </w:t>
      </w:r>
      <w:r>
        <w:rPr>
          <w:b/>
          <w:bCs/>
          <w:lang w:val="en-GB"/>
        </w:rPr>
        <w:t>Commission Decision No 2007/275/EC</w:t>
      </w:r>
      <w:r>
        <w:rPr>
          <w:lang w:val="en-GB"/>
        </w:rPr>
        <w:t xml:space="preserve"> Concerning Lists of Animals and Products to be Subject to Controls at Border Inspection Posts,</w:t>
      </w:r>
    </w:p>
    <w:p w14:paraId="2BF15102" w14:textId="77777777" w:rsidR="000B1642" w:rsidRPr="005B33F9" w:rsidRDefault="000B1642" w:rsidP="000B1642"/>
    <w:p w14:paraId="63BD93F0" w14:textId="2CFA7D25" w:rsidR="000B1642" w:rsidRPr="005B33F9" w:rsidRDefault="000B1642" w:rsidP="000B1642">
      <w:pPr>
        <w:ind w:left="851" w:hanging="425"/>
      </w:pPr>
      <w:r>
        <w:rPr>
          <w:b/>
          <w:bCs/>
          <w:lang w:val="en-GB"/>
        </w:rPr>
        <w:t xml:space="preserve">9. </w:t>
      </w:r>
      <w:r>
        <w:rPr>
          <w:b/>
          <w:bCs/>
          <w:lang w:val="en-GB"/>
        </w:rPr>
        <w:tab/>
        <w:t>are goods exempted from veterinary checks in accordance with Article 6 (1) of Commission Decision No 2007/275/EC,</w:t>
      </w:r>
    </w:p>
    <w:p w14:paraId="7AE152B3" w14:textId="77777777" w:rsidR="000B1642" w:rsidRPr="005B33F9" w:rsidRDefault="000B1642" w:rsidP="000B1642"/>
    <w:p w14:paraId="312E882D" w14:textId="7C3103F3" w:rsidR="000B1642" w:rsidRPr="005B33F9" w:rsidRDefault="000B1642" w:rsidP="000B1642">
      <w:pPr>
        <w:ind w:left="851" w:hanging="425"/>
      </w:pPr>
      <w:r>
        <w:rPr>
          <w:b/>
          <w:bCs/>
          <w:lang w:val="en-GB"/>
        </w:rPr>
        <w:t>10.</w:t>
      </w:r>
      <w:r>
        <w:rPr>
          <w:b/>
          <w:bCs/>
          <w:lang w:val="en-GB"/>
        </w:rPr>
        <w:tab/>
        <w:t>the goods declared for customs clearance are not subject to the Government Decree 52/2012 (28 March)</w:t>
      </w:r>
      <w:r>
        <w:rPr>
          <w:lang w:val="en-GB"/>
        </w:rPr>
        <w:t xml:space="preserve"> on the Trade of Goods, Services and Rights of Material Value Traversing the State and Customs Frontier,</w:t>
      </w:r>
    </w:p>
    <w:p w14:paraId="612AF698" w14:textId="77777777" w:rsidR="000B1642" w:rsidRPr="005B33F9" w:rsidRDefault="000B1642" w:rsidP="000B1642"/>
    <w:p w14:paraId="484313AA" w14:textId="7F7168F9" w:rsidR="000B1642" w:rsidRPr="005B33F9" w:rsidRDefault="000B1642" w:rsidP="000B1642">
      <w:pPr>
        <w:ind w:left="851" w:hanging="425"/>
      </w:pPr>
      <w:r>
        <w:rPr>
          <w:b/>
          <w:bCs/>
          <w:lang w:val="en-GB"/>
        </w:rPr>
        <w:t>11.</w:t>
      </w:r>
      <w:r>
        <w:rPr>
          <w:b/>
          <w:bCs/>
          <w:lang w:val="en-GB"/>
        </w:rPr>
        <w:tab/>
        <w:t>the goods declared for customs clearance are not subject the Decree of the Minister of Health, Social and Family Affairs 53/2004 (2 June) ESzCsM</w:t>
      </w:r>
      <w:r>
        <w:rPr>
          <w:lang w:val="en-GB"/>
        </w:rPr>
        <w:t xml:space="preserve"> on the Wholesale and Parallel Importation of Medicinal Products,</w:t>
      </w:r>
    </w:p>
    <w:p w14:paraId="5056308E" w14:textId="77777777" w:rsidR="000B1642" w:rsidRPr="005B33F9" w:rsidRDefault="000B1642" w:rsidP="000B1642"/>
    <w:p w14:paraId="1591A296" w14:textId="585EC346" w:rsidR="000B1642" w:rsidRPr="005B33F9" w:rsidRDefault="000B1642" w:rsidP="000B1642">
      <w:pPr>
        <w:ind w:left="851" w:hanging="425"/>
      </w:pPr>
      <w:r>
        <w:rPr>
          <w:b/>
          <w:bCs/>
          <w:lang w:val="en-GB"/>
        </w:rPr>
        <w:t>12.</w:t>
      </w:r>
      <w:r>
        <w:rPr>
          <w:b/>
          <w:bCs/>
          <w:lang w:val="en-GB"/>
        </w:rPr>
        <w:tab/>
        <w:t>are not subject to Regulation No 88/2014/EU</w:t>
      </w:r>
      <w:r>
        <w:rPr>
          <w:lang w:val="en-GB"/>
        </w:rPr>
        <w:t xml:space="preserve"> on the Market and Use of Biocidal Products,</w:t>
      </w:r>
    </w:p>
    <w:p w14:paraId="0F1716A8" w14:textId="77777777" w:rsidR="000B1642" w:rsidRPr="005B33F9" w:rsidRDefault="000B1642" w:rsidP="000B1642"/>
    <w:p w14:paraId="03CCED6C" w14:textId="3FE1D05B" w:rsidR="000B1642" w:rsidRPr="005B33F9" w:rsidRDefault="000B1642" w:rsidP="000B1642">
      <w:pPr>
        <w:ind w:left="851" w:hanging="425"/>
      </w:pPr>
      <w:r>
        <w:rPr>
          <w:b/>
          <w:bCs/>
          <w:lang w:val="en-GB"/>
        </w:rPr>
        <w:t xml:space="preserve">13. </w:t>
      </w:r>
      <w:r>
        <w:rPr>
          <w:b/>
          <w:bCs/>
          <w:lang w:val="en-GB"/>
        </w:rPr>
        <w:tab/>
        <w:t>do not contain acesulfame potassium (potassium salt of 6-methyl-1,2,3-oxathiazine-4(3H)-one-2,2-dioxide; CAS Registry No.: 55589-62-3),</w:t>
      </w:r>
    </w:p>
    <w:p w14:paraId="67BCF929" w14:textId="77777777" w:rsidR="000B1642" w:rsidRPr="005B33F9" w:rsidRDefault="000B1642" w:rsidP="000B1642"/>
    <w:p w14:paraId="57AF8B2F" w14:textId="5502FDC3" w:rsidR="000B1642" w:rsidRPr="005B33F9" w:rsidRDefault="000B1642" w:rsidP="000B1642">
      <w:pPr>
        <w:ind w:left="851" w:hanging="425"/>
      </w:pPr>
      <w:r>
        <w:rPr>
          <w:b/>
          <w:bCs/>
          <w:lang w:val="en-GB"/>
        </w:rPr>
        <w:t xml:space="preserve">14. </w:t>
      </w:r>
      <w:r>
        <w:rPr>
          <w:lang w:val="en-GB"/>
        </w:rPr>
        <w:tab/>
        <w:t xml:space="preserve">are not subject to </w:t>
      </w:r>
      <w:r>
        <w:rPr>
          <w:b/>
          <w:bCs/>
          <w:lang w:val="en-GB"/>
        </w:rPr>
        <w:t>Regulation (EC) No 689/2008 Concerning the Export and Import of Dangerous Chemicals and Government Decree 123/2009 (12 June),</w:t>
      </w:r>
    </w:p>
    <w:p w14:paraId="047B7C7E" w14:textId="77777777" w:rsidR="000B1642" w:rsidRPr="005B33F9" w:rsidRDefault="000B1642" w:rsidP="000B1642"/>
    <w:p w14:paraId="5B476DBD" w14:textId="501C6B24" w:rsidR="000B1642" w:rsidRPr="005B33F9" w:rsidRDefault="000B1642" w:rsidP="000B1642">
      <w:pPr>
        <w:ind w:left="851" w:hanging="425"/>
      </w:pPr>
      <w:r>
        <w:rPr>
          <w:b/>
          <w:bCs/>
          <w:lang w:val="en-GB"/>
        </w:rPr>
        <w:t xml:space="preserve">15. </w:t>
      </w:r>
      <w:r>
        <w:rPr>
          <w:lang w:val="en-GB"/>
        </w:rPr>
        <w:tab/>
        <w:t xml:space="preserve">are not subject to </w:t>
      </w:r>
      <w:r>
        <w:rPr>
          <w:b/>
          <w:bCs/>
          <w:lang w:val="en-GB"/>
        </w:rPr>
        <w:t>Regulation (EU) No 36/2012 Concerning Restrictive Measures in View of the Situation in Syria,</w:t>
      </w:r>
    </w:p>
    <w:p w14:paraId="5E49C1AD" w14:textId="77777777" w:rsidR="000B1642" w:rsidRPr="005B33F9" w:rsidRDefault="000B1642" w:rsidP="000B1642"/>
    <w:p w14:paraId="370905F3" w14:textId="5EE014AF" w:rsidR="000B1642" w:rsidRPr="005B33F9" w:rsidRDefault="000B1642" w:rsidP="000B1642">
      <w:pPr>
        <w:ind w:left="851" w:hanging="425"/>
      </w:pPr>
      <w:r>
        <w:rPr>
          <w:b/>
          <w:bCs/>
          <w:lang w:val="en-GB"/>
        </w:rPr>
        <w:t xml:space="preserve">16. </w:t>
      </w:r>
      <w:r>
        <w:rPr>
          <w:lang w:val="en-GB"/>
        </w:rPr>
        <w:tab/>
        <w:t xml:space="preserve">are not subject to </w:t>
      </w:r>
      <w:r>
        <w:rPr>
          <w:b/>
          <w:bCs/>
          <w:lang w:val="en-GB"/>
        </w:rPr>
        <w:t>Regulation (EC) No 1210/2003 Concerning Certain Specific Restrictions on Economic and Financial Relations with Iraq.</w:t>
      </w:r>
    </w:p>
    <w:p w14:paraId="7B6E1639" w14:textId="77777777" w:rsidR="000B1642" w:rsidRDefault="000B1642" w:rsidP="00CA5398"/>
    <w:p w14:paraId="6515AA44" w14:textId="49579340" w:rsidR="00BC5A53" w:rsidRDefault="000A67AB" w:rsidP="00CA5398">
      <w:r>
        <w:rPr>
          <w:lang w:val="en-GB"/>
        </w:rPr>
        <w:t>By signing this Declaration, I/we declare that the information provided is accurate and true and that I/we shall be liable for any legal consequences arising from incorrect or incomplete information.</w:t>
      </w:r>
    </w:p>
    <w:p w14:paraId="3FB8D28B" w14:textId="77777777" w:rsidR="000B1642" w:rsidRPr="00CA5398" w:rsidRDefault="000B1642" w:rsidP="00CA5398"/>
    <w:p w14:paraId="5B796300" w14:textId="510FB92B" w:rsidR="00CA5398" w:rsidRPr="000B1642" w:rsidRDefault="00CA5398" w:rsidP="00CA5398">
      <w:pPr>
        <w:rPr>
          <w:bCs/>
        </w:rPr>
      </w:pPr>
      <w:r>
        <w:rPr>
          <w:lang w:val="en-GB"/>
        </w:rPr>
        <w:t>Date: ........ day ................... month ...... year</w:t>
      </w:r>
    </w:p>
    <w:p w14:paraId="18664711" w14:textId="77777777" w:rsidR="000B1642" w:rsidRDefault="000B1642" w:rsidP="00CA5398">
      <w:pPr>
        <w:rPr>
          <w:b/>
        </w:rPr>
      </w:pPr>
    </w:p>
    <w:p w14:paraId="107B026E" w14:textId="633F8F38" w:rsidR="00BC5A53" w:rsidRPr="000B1642" w:rsidRDefault="00CA5398" w:rsidP="000B1642">
      <w:pPr>
        <w:ind w:left="4536"/>
        <w:jc w:val="center"/>
        <w:rPr>
          <w:bCs/>
        </w:rPr>
      </w:pPr>
      <w:r>
        <w:rPr>
          <w:lang w:val="en-GB"/>
        </w:rPr>
        <w:t>corporate signature</w:t>
      </w:r>
    </w:p>
    <w:sectPr w:rsidR="00BC5A53" w:rsidRPr="000B1642" w:rsidSect="001B3B34">
      <w:type w:val="continuous"/>
      <w:pgSz w:w="11909" w:h="16838" w:code="9"/>
      <w:pgMar w:top="1134" w:right="1134" w:bottom="1134" w:left="1134"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2EF73" w14:textId="77777777" w:rsidR="00D810D0" w:rsidRDefault="00D810D0">
      <w:r>
        <w:separator/>
      </w:r>
    </w:p>
  </w:endnote>
  <w:endnote w:type="continuationSeparator" w:id="0">
    <w:p w14:paraId="0F3A7A66" w14:textId="77777777" w:rsidR="00D810D0" w:rsidRDefault="00D8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8DA21" w14:textId="77777777" w:rsidR="00D810D0" w:rsidRDefault="00D810D0"/>
  </w:footnote>
  <w:footnote w:type="continuationSeparator" w:id="0">
    <w:p w14:paraId="324CE955" w14:textId="77777777" w:rsidR="00D810D0" w:rsidRDefault="00D810D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720B7"/>
    <w:multiLevelType w:val="multilevel"/>
    <w:tmpl w:val="A79A5624"/>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53"/>
    <w:rsid w:val="000A67AB"/>
    <w:rsid w:val="000B1642"/>
    <w:rsid w:val="001B3B34"/>
    <w:rsid w:val="002307C2"/>
    <w:rsid w:val="009D4BB2"/>
    <w:rsid w:val="009F7BFA"/>
    <w:rsid w:val="00B20CA1"/>
    <w:rsid w:val="00BC5A53"/>
    <w:rsid w:val="00CA5398"/>
    <w:rsid w:val="00CB5C8E"/>
    <w:rsid w:val="00D8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826B"/>
  <w15:docId w15:val="{89410151-F6A6-4C98-8950-0EAF63B9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hu-HU"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B1642"/>
    <w:pPr>
      <w:jc w:val="both"/>
    </w:pPr>
    <w:rPr>
      <w:rFonts w:ascii="Arial" w:hAnsi="Arial"/>
      <w:color w:val="000000"/>
      <w:sz w:val="19"/>
    </w:rPr>
  </w:style>
  <w:style w:type="paragraph" w:styleId="Cmsor1">
    <w:name w:val="heading 1"/>
    <w:basedOn w:val="Norml"/>
    <w:next w:val="Norml"/>
    <w:link w:val="Cmsor1Char"/>
    <w:uiPriority w:val="9"/>
    <w:qFormat/>
    <w:rsid w:val="009F7BF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Cmsor10">
    <w:name w:val="Címsor #1_"/>
    <w:basedOn w:val="Bekezdsalapbettpusa"/>
    <w:link w:val="Cmsor11"/>
    <w:rPr>
      <w:rFonts w:ascii="Arial" w:eastAsia="Arial" w:hAnsi="Arial" w:cs="Arial"/>
      <w:b/>
      <w:bCs/>
      <w:i w:val="0"/>
      <w:iCs w:val="0"/>
      <w:smallCaps w:val="0"/>
      <w:strike w:val="0"/>
      <w:sz w:val="30"/>
      <w:szCs w:val="30"/>
      <w:u w:val="none"/>
    </w:rPr>
  </w:style>
  <w:style w:type="character" w:customStyle="1" w:styleId="Cmsor12">
    <w:name w:val="Címsor #1"/>
    <w:basedOn w:val="Cmsor10"/>
    <w:rPr>
      <w:rFonts w:ascii="Arial" w:eastAsia="Arial" w:hAnsi="Arial" w:cs="Arial"/>
      <w:b/>
      <w:bCs/>
      <w:i w:val="0"/>
      <w:iCs w:val="0"/>
      <w:smallCaps w:val="0"/>
      <w:strike w:val="0"/>
      <w:color w:val="000000"/>
      <w:spacing w:val="0"/>
      <w:w w:val="100"/>
      <w:position w:val="0"/>
      <w:sz w:val="30"/>
      <w:szCs w:val="30"/>
      <w:u w:val="single"/>
      <w:lang w:val="hu-HU"/>
    </w:rPr>
  </w:style>
  <w:style w:type="character" w:customStyle="1" w:styleId="Cmsor2">
    <w:name w:val="Címsor #2_"/>
    <w:basedOn w:val="Bekezdsalapbettpusa"/>
    <w:link w:val="Cmsor20"/>
    <w:rPr>
      <w:rFonts w:ascii="Arial" w:eastAsia="Arial" w:hAnsi="Arial" w:cs="Arial"/>
      <w:b w:val="0"/>
      <w:bCs w:val="0"/>
      <w:i w:val="0"/>
      <w:iCs w:val="0"/>
      <w:smallCaps w:val="0"/>
      <w:strike w:val="0"/>
      <w:sz w:val="18"/>
      <w:szCs w:val="18"/>
      <w:u w:val="none"/>
    </w:rPr>
  </w:style>
  <w:style w:type="character" w:customStyle="1" w:styleId="Szvegtrzs">
    <w:name w:val="Szövegtörzs_"/>
    <w:basedOn w:val="Bekezdsalapbettpusa"/>
    <w:link w:val="Szvegtrzs1"/>
    <w:rPr>
      <w:rFonts w:ascii="Arial" w:eastAsia="Arial" w:hAnsi="Arial" w:cs="Arial"/>
      <w:b/>
      <w:bCs/>
      <w:i w:val="0"/>
      <w:iCs w:val="0"/>
      <w:smallCaps w:val="0"/>
      <w:strike w:val="0"/>
      <w:sz w:val="16"/>
      <w:szCs w:val="16"/>
      <w:u w:val="none"/>
    </w:rPr>
  </w:style>
  <w:style w:type="character" w:customStyle="1" w:styleId="Cmsor21">
    <w:name w:val="Címsor #2"/>
    <w:basedOn w:val="Cmsor2"/>
    <w:rPr>
      <w:rFonts w:ascii="Arial" w:eastAsia="Arial" w:hAnsi="Arial" w:cs="Arial"/>
      <w:b w:val="0"/>
      <w:bCs w:val="0"/>
      <w:i w:val="0"/>
      <w:iCs w:val="0"/>
      <w:smallCaps w:val="0"/>
      <w:strike w:val="0"/>
      <w:color w:val="000000"/>
      <w:spacing w:val="0"/>
      <w:w w:val="100"/>
      <w:position w:val="0"/>
      <w:sz w:val="18"/>
      <w:szCs w:val="18"/>
      <w:u w:val="none"/>
      <w:lang w:val="hu-HU"/>
    </w:rPr>
  </w:style>
  <w:style w:type="paragraph" w:customStyle="1" w:styleId="Cmsor11">
    <w:name w:val="Címsor #1"/>
    <w:basedOn w:val="Norml"/>
    <w:link w:val="Cmsor10"/>
    <w:pPr>
      <w:shd w:val="clear" w:color="auto" w:fill="FFFFFF"/>
      <w:spacing w:line="0" w:lineRule="atLeast"/>
      <w:outlineLvl w:val="0"/>
    </w:pPr>
    <w:rPr>
      <w:rFonts w:eastAsia="Arial" w:cs="Arial"/>
      <w:b/>
      <w:bCs/>
      <w:sz w:val="30"/>
      <w:szCs w:val="30"/>
    </w:rPr>
  </w:style>
  <w:style w:type="paragraph" w:customStyle="1" w:styleId="Cmsor20">
    <w:name w:val="Címsor #2"/>
    <w:basedOn w:val="Norml"/>
    <w:link w:val="Cmsor2"/>
    <w:pPr>
      <w:shd w:val="clear" w:color="auto" w:fill="FFFFFF"/>
      <w:spacing w:line="226" w:lineRule="exact"/>
      <w:outlineLvl w:val="1"/>
    </w:pPr>
    <w:rPr>
      <w:rFonts w:eastAsia="Arial" w:cs="Arial"/>
      <w:sz w:val="18"/>
      <w:szCs w:val="18"/>
    </w:rPr>
  </w:style>
  <w:style w:type="paragraph" w:customStyle="1" w:styleId="Szvegtrzs1">
    <w:name w:val="Szövegtörzs1"/>
    <w:basedOn w:val="Norml"/>
    <w:link w:val="Szvegtrzs"/>
    <w:pPr>
      <w:shd w:val="clear" w:color="auto" w:fill="FFFFFF"/>
      <w:spacing w:line="206" w:lineRule="exact"/>
      <w:ind w:hanging="360"/>
    </w:pPr>
    <w:rPr>
      <w:rFonts w:eastAsia="Arial" w:cs="Arial"/>
      <w:b/>
      <w:bCs/>
      <w:sz w:val="16"/>
      <w:szCs w:val="16"/>
    </w:rPr>
  </w:style>
  <w:style w:type="paragraph" w:styleId="Nincstrkz">
    <w:name w:val="No Spacing"/>
    <w:uiPriority w:val="1"/>
    <w:qFormat/>
    <w:rsid w:val="009F7BFA"/>
    <w:pPr>
      <w:jc w:val="both"/>
    </w:pPr>
    <w:rPr>
      <w:rFonts w:ascii="Arial" w:hAnsi="Arial"/>
      <w:color w:val="000000"/>
      <w:sz w:val="19"/>
    </w:rPr>
  </w:style>
  <w:style w:type="character" w:customStyle="1" w:styleId="Cmsor1Char">
    <w:name w:val="Címsor 1 Char"/>
    <w:basedOn w:val="Bekezdsalapbettpusa"/>
    <w:link w:val="Cmsor1"/>
    <w:uiPriority w:val="9"/>
    <w:rsid w:val="009F7BF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2686</Characters>
  <Application>Microsoft Office Word</Application>
  <DocSecurity>0</DocSecurity>
  <Lines>63</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dc:creator>
  <cp:keywords/>
  <cp:lastModifiedBy>Simonné Eklics Gyöngyi</cp:lastModifiedBy>
  <cp:revision>3</cp:revision>
  <dcterms:created xsi:type="dcterms:W3CDTF">2021-07-29T07:55:00Z</dcterms:created>
  <dcterms:modified xsi:type="dcterms:W3CDTF">2021-07-29T07:56:00Z</dcterms:modified>
</cp:coreProperties>
</file>